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F" w:rsidRPr="00AD0EBD" w:rsidRDefault="008E0E5F" w:rsidP="00B4636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C001A"/>
          <w:kern w:val="36"/>
          <w:sz w:val="36"/>
          <w:szCs w:val="36"/>
          <w:lang w:eastAsia="hr-HR"/>
        </w:rPr>
      </w:pPr>
    </w:p>
    <w:p w:rsidR="003255BC" w:rsidRPr="00AD0EBD" w:rsidRDefault="00570EE5" w:rsidP="00570EE5">
      <w:pPr>
        <w:pStyle w:val="Bezproreda"/>
      </w:pPr>
      <w:r w:rsidRPr="00AD0EBD">
        <w:t xml:space="preserve">   </w:t>
      </w:r>
    </w:p>
    <w:p w:rsidR="00357C39" w:rsidRPr="00D17F5E" w:rsidRDefault="00357C39" w:rsidP="00357C39">
      <w:pPr>
        <w:pStyle w:val="Bezproreda"/>
      </w:pPr>
      <w:r w:rsidRPr="00D17F5E">
        <w:t>OSNOVNA ŠKOLA MATIJE GUPCA</w:t>
      </w:r>
    </w:p>
    <w:p w:rsidR="00357C39" w:rsidRPr="00D17F5E" w:rsidRDefault="00357C39" w:rsidP="00357C39">
      <w:pPr>
        <w:pStyle w:val="Bezproreda"/>
      </w:pPr>
      <w:r w:rsidRPr="00D17F5E">
        <w:t xml:space="preserve">          GORNJA STUBICA</w:t>
      </w:r>
    </w:p>
    <w:p w:rsidR="00357C39" w:rsidRPr="00D17F5E" w:rsidRDefault="00357C39" w:rsidP="00357C39">
      <w:pPr>
        <w:pStyle w:val="Bezproreda"/>
      </w:pPr>
      <w:proofErr w:type="spellStart"/>
      <w:r w:rsidRPr="00D17F5E">
        <w:t>Matije</w:t>
      </w:r>
      <w:proofErr w:type="spellEnd"/>
      <w:r w:rsidRPr="00D17F5E">
        <w:t xml:space="preserve"> </w:t>
      </w:r>
      <w:proofErr w:type="spellStart"/>
      <w:r w:rsidRPr="00D17F5E">
        <w:t>Gupca</w:t>
      </w:r>
      <w:proofErr w:type="spellEnd"/>
      <w:r w:rsidRPr="00D17F5E">
        <w:t xml:space="preserve"> 2, 49245 Gornja Stubica </w:t>
      </w:r>
    </w:p>
    <w:p w:rsidR="00357C39" w:rsidRPr="00D17F5E" w:rsidRDefault="00357C39" w:rsidP="00357C39">
      <w:pPr>
        <w:pStyle w:val="Bezproreda"/>
      </w:pPr>
    </w:p>
    <w:p w:rsidR="00357C39" w:rsidRDefault="00357C39" w:rsidP="00357C39">
      <w:pPr>
        <w:pStyle w:val="Bezproreda"/>
      </w:pPr>
      <w:r w:rsidRPr="00D17F5E">
        <w:t>KLASA: 112-0</w:t>
      </w:r>
      <w:r>
        <w:t>2</w:t>
      </w:r>
      <w:r w:rsidRPr="00D17F5E">
        <w:t>/21-01/</w:t>
      </w:r>
      <w:r>
        <w:t>04</w:t>
      </w:r>
      <w:r w:rsidRPr="00D17F5E">
        <w:br/>
        <w:t>URBROJ: 2113/05-380-8-01-21-</w:t>
      </w:r>
      <w:r>
        <w:t>5</w:t>
      </w:r>
      <w:r w:rsidRPr="00D17F5E">
        <w:br/>
      </w:r>
    </w:p>
    <w:p w:rsidR="00357C39" w:rsidRPr="00D17F5E" w:rsidRDefault="00357C39" w:rsidP="00357C39">
      <w:pPr>
        <w:pStyle w:val="Bezproreda"/>
      </w:pPr>
      <w:bookmarkStart w:id="0" w:name="_GoBack"/>
      <w:bookmarkEnd w:id="0"/>
      <w:r w:rsidRPr="00D17F5E">
        <w:t xml:space="preserve">U </w:t>
      </w:r>
      <w:proofErr w:type="spellStart"/>
      <w:r w:rsidRPr="00D17F5E">
        <w:t>Gornjoj</w:t>
      </w:r>
      <w:proofErr w:type="spellEnd"/>
      <w:r w:rsidRPr="00D17F5E">
        <w:t xml:space="preserve"> </w:t>
      </w:r>
      <w:proofErr w:type="spellStart"/>
      <w:r w:rsidRPr="00D17F5E">
        <w:t>Stubici</w:t>
      </w:r>
      <w:proofErr w:type="spellEnd"/>
      <w:r w:rsidRPr="00D17F5E">
        <w:t xml:space="preserve">, </w:t>
      </w:r>
      <w:r>
        <w:t>29.04.</w:t>
      </w:r>
      <w:r w:rsidRPr="00D17F5E">
        <w:t>2021.</w:t>
      </w:r>
    </w:p>
    <w:p w:rsidR="00656C88" w:rsidRPr="00AD0EBD" w:rsidRDefault="00656C88" w:rsidP="003255BC">
      <w:pPr>
        <w:pStyle w:val="Bezproreda"/>
      </w:pPr>
    </w:p>
    <w:p w:rsidR="00656C88" w:rsidRPr="00AD0EBD" w:rsidRDefault="00656C88" w:rsidP="00656C88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Na temelju članka 3. </w:t>
      </w:r>
      <w:r w:rsidR="00811CF8">
        <w:rPr>
          <w:rFonts w:ascii="Times New Roman" w:hAnsi="Times New Roman" w:cs="Times New Roman"/>
        </w:rPr>
        <w:t>i</w:t>
      </w:r>
      <w:r w:rsidRPr="00AD0EBD">
        <w:rPr>
          <w:rFonts w:ascii="Times New Roman" w:hAnsi="Times New Roman" w:cs="Times New Roman"/>
        </w:rPr>
        <w:t xml:space="preserve"> 4. Pravilnika o načinu i postupku kojim se svim kandidatima za zapošljavanje osigurava jednaka dostupnost javnim službama pod jednakim uvjetima te vrednovanje kandidata prijavljenih na natječaj, a vezano uz objavljeni natječaj (KLASA: 112-0</w:t>
      </w:r>
      <w:r w:rsidR="00357C39">
        <w:rPr>
          <w:rFonts w:ascii="Times New Roman" w:hAnsi="Times New Roman" w:cs="Times New Roman"/>
        </w:rPr>
        <w:t>2</w:t>
      </w:r>
      <w:r w:rsidRPr="00AD0EBD">
        <w:rPr>
          <w:rFonts w:ascii="Times New Roman" w:hAnsi="Times New Roman" w:cs="Times New Roman"/>
        </w:rPr>
        <w:t>/21-01/</w:t>
      </w:r>
      <w:r w:rsidR="00357C39">
        <w:rPr>
          <w:rFonts w:ascii="Times New Roman" w:hAnsi="Times New Roman" w:cs="Times New Roman"/>
        </w:rPr>
        <w:t>04</w:t>
      </w:r>
      <w:r w:rsidRPr="00AD0EBD">
        <w:rPr>
          <w:rFonts w:ascii="Times New Roman" w:hAnsi="Times New Roman" w:cs="Times New Roman"/>
        </w:rPr>
        <w:t xml:space="preserve">, URBROJ: 2113/05-380-8-01-21-4 od 29.04.2021. godine) za zasnivanje radnog odnosa </w:t>
      </w:r>
      <w:r w:rsidRPr="00AD0EBD">
        <w:rPr>
          <w:rFonts w:ascii="Times New Roman" w:hAnsi="Times New Roman" w:cs="Times New Roman"/>
          <w:u w:val="single"/>
        </w:rPr>
        <w:t xml:space="preserve">učitelja/ice </w:t>
      </w:r>
      <w:r w:rsidR="00357C39">
        <w:rPr>
          <w:rFonts w:ascii="Times New Roman" w:hAnsi="Times New Roman" w:cs="Times New Roman"/>
          <w:u w:val="single"/>
        </w:rPr>
        <w:t xml:space="preserve">matematike na </w:t>
      </w:r>
      <w:r w:rsidRPr="00AD0EBD">
        <w:rPr>
          <w:rFonts w:ascii="Times New Roman" w:hAnsi="Times New Roman" w:cs="Times New Roman"/>
        </w:rPr>
        <w:t xml:space="preserve"> </w:t>
      </w:r>
      <w:r w:rsidR="00357C39">
        <w:rPr>
          <w:rFonts w:ascii="Times New Roman" w:hAnsi="Times New Roman" w:cs="Times New Roman"/>
        </w:rPr>
        <w:t>ne</w:t>
      </w:r>
      <w:r w:rsidRPr="00AD0EBD">
        <w:rPr>
          <w:rFonts w:ascii="Times New Roman" w:hAnsi="Times New Roman" w:cs="Times New Roman"/>
        </w:rPr>
        <w:t xml:space="preserve">određeno </w:t>
      </w:r>
      <w:r w:rsidR="00357C39">
        <w:rPr>
          <w:rFonts w:ascii="Times New Roman" w:hAnsi="Times New Roman" w:cs="Times New Roman"/>
        </w:rPr>
        <w:t>ne</w:t>
      </w:r>
      <w:r w:rsidRPr="00AD0EBD">
        <w:rPr>
          <w:rFonts w:ascii="Times New Roman" w:hAnsi="Times New Roman" w:cs="Times New Roman"/>
        </w:rPr>
        <w:t xml:space="preserve">puno radno vrijeme </w:t>
      </w:r>
      <w:r w:rsidR="00357C39">
        <w:rPr>
          <w:rFonts w:ascii="Times New Roman" w:hAnsi="Times New Roman" w:cs="Times New Roman"/>
        </w:rPr>
        <w:t xml:space="preserve"> 9 </w:t>
      </w:r>
      <w:r w:rsidRPr="00AD0EBD">
        <w:rPr>
          <w:rFonts w:ascii="Times New Roman" w:hAnsi="Times New Roman" w:cs="Times New Roman"/>
        </w:rPr>
        <w:t xml:space="preserve"> sati ukupnog tjednog radnog vremena Komisija za provedbu natječaja objavljuje</w:t>
      </w:r>
    </w:p>
    <w:p w:rsidR="00656C88" w:rsidRPr="00AD0EBD" w:rsidRDefault="00656C88" w:rsidP="0065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570EE5" w:rsidRPr="00AD0EBD" w:rsidRDefault="00570EE5" w:rsidP="003255BC">
      <w:pPr>
        <w:pStyle w:val="Bezproreda"/>
      </w:pPr>
    </w:p>
    <w:p w:rsidR="003056F9" w:rsidRPr="00AD0EBD" w:rsidRDefault="003056F9" w:rsidP="00AD0EB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  NA ODREĐENO VRIJEME </w:t>
      </w:r>
      <w:r w:rsid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objavljen</w:t>
      </w:r>
      <w:r w:rsidR="00B46366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656C88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29.04.</w:t>
      </w:r>
      <w:r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="003255BC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570EE5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8F351E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godine</w:t>
      </w:r>
    </w:p>
    <w:p w:rsidR="002224F3" w:rsidRPr="00AD0EBD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hr-HR"/>
        </w:rPr>
      </w:pP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RADN</w:t>
      </w:r>
      <w:r w:rsidR="00570EE5"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O</w:t>
      </w: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MJEST</w:t>
      </w:r>
      <w:r w:rsidR="00570EE5"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O</w:t>
      </w: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ZA KOJE SE RASPISUJE NATJEČAJ:  </w:t>
      </w: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UČITELJ/ICA  </w:t>
      </w:r>
      <w:r w:rsidR="00357C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MATEMATIKE</w:t>
      </w: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</w:p>
    <w:p w:rsidR="002224F3" w:rsidRPr="00AD0EBD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BROJ IZVRŠITELJA:</w:t>
      </w:r>
      <w:r w:rsidRPr="00AD0E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="00656C88" w:rsidRPr="00AD0E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</w:p>
    <w:p w:rsidR="003255BC" w:rsidRPr="00AD0EBD" w:rsidRDefault="002224F3" w:rsidP="00357C3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TJEDNO RADNO VRIJEME:</w:t>
      </w:r>
      <w:r w:rsidRPr="00AD0E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AD0EBD">
        <w:rPr>
          <w:rFonts w:ascii="Times New Roman" w:eastAsia="Times New Roman" w:hAnsi="Times New Roman" w:cs="Times New Roman"/>
          <w:b/>
          <w:bCs/>
        </w:rPr>
        <w:t xml:space="preserve"> Učitelj/</w:t>
      </w:r>
      <w:proofErr w:type="spellStart"/>
      <w:r w:rsidRPr="00AD0EBD">
        <w:rPr>
          <w:rFonts w:ascii="Times New Roman" w:eastAsia="Times New Roman" w:hAnsi="Times New Roman" w:cs="Times New Roman"/>
          <w:b/>
          <w:bCs/>
        </w:rPr>
        <w:t>ica</w:t>
      </w:r>
      <w:proofErr w:type="spellEnd"/>
      <w:r w:rsidRPr="00AD0EBD">
        <w:rPr>
          <w:rFonts w:ascii="Times New Roman" w:eastAsia="Times New Roman" w:hAnsi="Times New Roman" w:cs="Times New Roman"/>
          <w:b/>
          <w:bCs/>
        </w:rPr>
        <w:t xml:space="preserve"> </w:t>
      </w:r>
      <w:r w:rsidR="00656C88" w:rsidRPr="00AD0EBD">
        <w:rPr>
          <w:rFonts w:ascii="Times New Roman" w:eastAsia="Times New Roman" w:hAnsi="Times New Roman" w:cs="Times New Roman"/>
          <w:b/>
          <w:bCs/>
        </w:rPr>
        <w:t xml:space="preserve"> </w:t>
      </w:r>
      <w:r w:rsidR="00357C39">
        <w:rPr>
          <w:rFonts w:ascii="Times New Roman" w:eastAsia="Times New Roman" w:hAnsi="Times New Roman" w:cs="Times New Roman"/>
          <w:b/>
          <w:bCs/>
        </w:rPr>
        <w:t>matematike</w:t>
      </w:r>
      <w:r w:rsidRPr="00AD0EBD">
        <w:rPr>
          <w:rFonts w:ascii="Times New Roman" w:eastAsia="Times New Roman" w:hAnsi="Times New Roman" w:cs="Times New Roman"/>
          <w:b/>
          <w:bCs/>
        </w:rPr>
        <w:t xml:space="preserve"> – </w:t>
      </w:r>
      <w:r w:rsidR="00357C39">
        <w:rPr>
          <w:rFonts w:ascii="Times New Roman" w:eastAsia="Times New Roman" w:hAnsi="Times New Roman" w:cs="Times New Roman"/>
          <w:b/>
          <w:bCs/>
        </w:rPr>
        <w:t>9</w:t>
      </w:r>
      <w:r w:rsidR="003255BC" w:rsidRPr="00AD0EBD">
        <w:rPr>
          <w:rFonts w:ascii="Times New Roman" w:eastAsia="Times New Roman" w:hAnsi="Times New Roman" w:cs="Times New Roman"/>
          <w:b/>
          <w:bCs/>
        </w:rPr>
        <w:t xml:space="preserve"> sati tjednog radnog vremena,  </w:t>
      </w:r>
      <w:r w:rsidR="00357C39">
        <w:rPr>
          <w:rFonts w:ascii="Times New Roman" w:eastAsia="Times New Roman" w:hAnsi="Times New Roman" w:cs="Times New Roman"/>
          <w:b/>
          <w:bCs/>
        </w:rPr>
        <w:t>ne</w:t>
      </w:r>
      <w:r w:rsidR="003255BC" w:rsidRPr="00AD0EBD">
        <w:rPr>
          <w:rFonts w:ascii="Times New Roman" w:eastAsia="Times New Roman" w:hAnsi="Times New Roman" w:cs="Times New Roman"/>
          <w:b/>
          <w:bCs/>
        </w:rPr>
        <w:t xml:space="preserve">određeno </w:t>
      </w:r>
      <w:r w:rsidR="003255BC" w:rsidRPr="00AD0EBD">
        <w:rPr>
          <w:rFonts w:ascii="Times New Roman" w:hAnsi="Times New Roman" w:cs="Times New Roman"/>
        </w:rPr>
        <w:t>-1</w:t>
      </w:r>
      <w:r w:rsidR="003255BC" w:rsidRPr="00AD0EBD">
        <w:rPr>
          <w:rFonts w:ascii="Times New Roman" w:eastAsia="Times New Roman" w:hAnsi="Times New Roman" w:cs="Times New Roman"/>
          <w:bCs/>
          <w:color w:val="00B0F0"/>
        </w:rPr>
        <w:t xml:space="preserve"> </w:t>
      </w:r>
      <w:r w:rsidR="003255BC" w:rsidRPr="00AD0EBD">
        <w:rPr>
          <w:rFonts w:ascii="Times New Roman" w:hAnsi="Times New Roman" w:cs="Times New Roman"/>
        </w:rPr>
        <w:t>izvršitelj/</w:t>
      </w:r>
      <w:proofErr w:type="spellStart"/>
      <w:r w:rsidR="003255BC" w:rsidRPr="00AD0EBD">
        <w:rPr>
          <w:rFonts w:ascii="Times New Roman" w:hAnsi="Times New Roman" w:cs="Times New Roman"/>
        </w:rPr>
        <w:t>ica</w:t>
      </w:r>
      <w:proofErr w:type="spellEnd"/>
      <w:r w:rsidR="003255BC" w:rsidRPr="00AD0EBD">
        <w:rPr>
          <w:rFonts w:ascii="Times New Roman" w:hAnsi="Times New Roman" w:cs="Times New Roman"/>
        </w:rPr>
        <w:t xml:space="preserve"> </w:t>
      </w:r>
    </w:p>
    <w:p w:rsidR="003255BC" w:rsidRPr="00AD0EBD" w:rsidRDefault="003255BC" w:rsidP="002224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2224F3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TRAJANJE UGOVORA O RADU:</w:t>
      </w:r>
      <w:r w:rsidRPr="00AD0E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 Ugovor se sklapa na </w:t>
      </w:r>
      <w:r w:rsidR="00357C3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ne</w:t>
      </w:r>
      <w:r w:rsidRPr="00AD0E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određeno vrijeme </w:t>
      </w:r>
    </w:p>
    <w:p w:rsidR="00357C39" w:rsidRDefault="00357C39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57C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PROBNI RAD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: 3 MJESECA </w:t>
      </w:r>
    </w:p>
    <w:p w:rsidR="00357C39" w:rsidRPr="00AD0EBD" w:rsidRDefault="00357C39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:rsidR="008B7687" w:rsidRPr="00AD0EBD" w:rsidRDefault="003056F9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b/>
          <w:bCs/>
          <w:color w:val="000000"/>
          <w:sz w:val="20"/>
          <w:szCs w:val="20"/>
        </w:rPr>
        <w:t>TESTIRANJE KANDIDATA:</w:t>
      </w:r>
      <w:r w:rsidRPr="00AD0EBD">
        <w:rPr>
          <w:color w:val="000000"/>
          <w:sz w:val="20"/>
          <w:szCs w:val="20"/>
        </w:rPr>
        <w:t> </w:t>
      </w:r>
      <w:r w:rsidRPr="00AD0EBD">
        <w:rPr>
          <w:sz w:val="22"/>
          <w:szCs w:val="22"/>
        </w:rPr>
        <w:t xml:space="preserve">Sukladno </w:t>
      </w:r>
      <w:r w:rsidR="00DF321F" w:rsidRPr="00AD0EBD">
        <w:rPr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AD0EBD">
        <w:rPr>
          <w:sz w:val="22"/>
          <w:szCs w:val="22"/>
        </w:rPr>
        <w:t xml:space="preserve"> (u daljem tekstu: Pravilnik</w:t>
      </w:r>
      <w:r w:rsidR="00AD758A" w:rsidRPr="00AD0EBD">
        <w:rPr>
          <w:sz w:val="22"/>
          <w:szCs w:val="22"/>
        </w:rPr>
        <w:t xml:space="preserve">,  objavljen na web stranici škole: </w:t>
      </w:r>
      <w:hyperlink r:id="rId6" w:history="1">
        <w:r w:rsidR="00AD758A" w:rsidRPr="00AD0EBD">
          <w:rPr>
            <w:rStyle w:val="Hiperveza"/>
            <w:sz w:val="20"/>
            <w:szCs w:val="20"/>
            <w:shd w:val="clear" w:color="auto" w:fill="FFFFFF"/>
          </w:rPr>
          <w:t>http://os-mgupca-gornjastubica.skole.hr</w:t>
        </w:r>
      </w:hyperlink>
      <w:r w:rsidR="002D6762" w:rsidRPr="00AD0EBD">
        <w:rPr>
          <w:sz w:val="22"/>
          <w:szCs w:val="22"/>
        </w:rPr>
        <w:t xml:space="preserve">) </w:t>
      </w:r>
      <w:r w:rsidRPr="00AD0EBD">
        <w:rPr>
          <w:sz w:val="22"/>
          <w:szCs w:val="22"/>
        </w:rPr>
        <w:t xml:space="preserve">za kandidate na natječaju </w:t>
      </w:r>
      <w:r w:rsidRPr="00AD0EBD">
        <w:rPr>
          <w:b/>
          <w:sz w:val="22"/>
          <w:szCs w:val="22"/>
        </w:rPr>
        <w:t>obvezno je testiranje</w:t>
      </w:r>
      <w:r w:rsidRPr="00AD0EBD">
        <w:rPr>
          <w:sz w:val="22"/>
          <w:szCs w:val="22"/>
        </w:rPr>
        <w:t xml:space="preserve">. </w:t>
      </w:r>
      <w:r w:rsidR="008B7687" w:rsidRPr="00AD0EBD">
        <w:rPr>
          <w:sz w:val="22"/>
          <w:szCs w:val="22"/>
        </w:rPr>
        <w:t xml:space="preserve"> 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67" w:rsidRPr="00AD0EBD" w:rsidRDefault="006B0367" w:rsidP="006B0367">
      <w:pPr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AD0EBD">
        <w:rPr>
          <w:rFonts w:ascii="Times New Roman" w:hAnsi="Times New Roman" w:cs="Times New Roman"/>
          <w:b/>
          <w:bCs/>
          <w:iCs/>
          <w:u w:val="single"/>
        </w:rPr>
        <w:t>Sadržaj obveznog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Obvezno testiranje obuhvaća opći dio, posebni dio i razgovor (intervju).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Posebni dio obveznog  testiranja obuhvaća znanja iz poznavanja propisa koji se odnose na školovanje učenika s teškoćama i na postupak ocjenjivanja učenika.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i posebni dio obveznog testiranja provodi se pisanim testom.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utvrđuje Komisija za provedbu natječaja.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lastRenderedPageBreak/>
        <w:t>Popis propisa za obvezno testiranje objavljuje se na mrežnoj stranici školske ustanove.</w:t>
      </w:r>
    </w:p>
    <w:p w:rsidR="006B0367" w:rsidRPr="00AD0EBD" w:rsidRDefault="006B0367" w:rsidP="006B0367">
      <w:pPr>
        <w:spacing w:before="120" w:after="12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Komisija </w:t>
      </w:r>
      <w:r w:rsidRPr="00AD0EBD">
        <w:rPr>
          <w:rFonts w:ascii="Times New Roman" w:hAnsi="Times New Roman" w:cs="Times New Roman"/>
          <w:bCs/>
          <w:iCs/>
        </w:rPr>
        <w:t>za provedbu natječaja (u daljnjem tekstu Komisija)</w:t>
      </w:r>
      <w:r w:rsidRPr="00AD0EBD">
        <w:rPr>
          <w:rFonts w:ascii="Times New Roman" w:hAnsi="Times New Roman" w:cs="Times New Roman"/>
        </w:rPr>
        <w:t xml:space="preserve"> obavlja sljedeće poslove: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AD0EBD">
        <w:rPr>
          <w:sz w:val="22"/>
          <w:szCs w:val="22"/>
        </w:rPr>
        <w:t xml:space="preserve">provodi vrednovanje kandidata koje je uputio </w:t>
      </w:r>
      <w:r w:rsidR="00D63334" w:rsidRPr="00AD0EBD">
        <w:rPr>
          <w:sz w:val="22"/>
          <w:szCs w:val="22"/>
        </w:rPr>
        <w:t>upravni odjel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koje su prijave na natječaj pravodobne i potpune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provodi testiranje i razgovor  s kandidatima radi utvrđivanja njihovog znanja i sposobnosti,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rang-listu kandidata, s obzirom na rezultate provedenog testiranja i razgovora,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ravnatelju podnosi izvješće o provedenom postupku, uz koje prilaže rang-listu kandidata.</w:t>
      </w:r>
    </w:p>
    <w:p w:rsidR="006B0367" w:rsidRPr="00AD0EBD" w:rsidRDefault="006B0367" w:rsidP="006B0367">
      <w:pPr>
        <w:jc w:val="center"/>
        <w:rPr>
          <w:rFonts w:ascii="Times New Roman" w:hAnsi="Times New Roman" w:cs="Times New Roman"/>
          <w:b/>
        </w:rPr>
      </w:pP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Pristupanje testiranju</w:t>
      </w:r>
    </w:p>
    <w:p w:rsidR="00AD0EBD" w:rsidRPr="00811CF8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811CF8">
        <w:rPr>
          <w:rFonts w:ascii="Times New Roman" w:hAnsi="Times New Roman" w:cs="Times New Roman"/>
        </w:rPr>
        <w:t>Testiranju mogu pristupiti kandidati s liste kandidata koju utvrđuje Komisija za provedbu natječaja (u daljem tekstu: Komisija)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Kandidat koji nije pristupio testiranju više se ne smatra kandidatom u postupku.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7F41DF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t>U prvu fazu testiranja (opći i posebni dio) upućuju se svi kandidati</w:t>
      </w:r>
      <w:r w:rsidR="007F41DF" w:rsidRPr="00AD0EBD">
        <w:rPr>
          <w:sz w:val="22"/>
          <w:szCs w:val="22"/>
        </w:rPr>
        <w:t>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Svi kandidati koji dijele 15. mjesto u prvoj fazi testiranja pozvat će se u drugu fazu testiranja.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i posebni dio obveznog testiranja testiranje provodi se pisanim testom.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Kandidati su dužni ponijeti sa sobom osobnu iskaznicu ili drugu identifikacijsku javnu ispravu na temelju koje se utvrđuje identitet kandidata prije testiranja.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utvrđivanja identiteta kandidata Komisija će im podijeliti testove.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Po zaprimanju testa kandidati su dužni upisati ime i prezime na označenom mjestu u testu.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 se piše isključivo kemijskom olovkom, a sadrži deset pitanja iz općeg dijela i deset pitanja iz posebnog dijela.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Za vrijeme testiranja nije dopušteno: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se bilo kakvom literaturom, odnosno bilješkama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mobitel ili druga komunikacijska sredstva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napuštati prostoriju u kojoj se testiranje odvija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razgovarati s ostalim kandidatima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Ako kandidat postupi suprotno pravilima testiranja, bit će udaljen s testiranja, a njegov rezultat Komisija neće priznati niti ocijeniti. Nakon obavljenog testiranja Komisija utvrđuje rezultat testiranja za svakog kandidata koji je pristupio testiranju. Pravo na pristup razgovoru s Komisijom ostvaruje kandidat koji je na testu ostvario najmanje 5 bodova od ukupno 10 mogućih bodova iz općeg dijela i najmanje 5 bodova od ukupno 10 mogućih bodova iz posebnog dijela.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lastRenderedPageBreak/>
        <w:t xml:space="preserve">Kandidatu koji je osoba s invaliditetom </w:t>
      </w:r>
      <w:r w:rsidRPr="00AD0EBD">
        <w:rPr>
          <w:b/>
          <w:sz w:val="22"/>
          <w:szCs w:val="22"/>
        </w:rPr>
        <w:t xml:space="preserve">Škola </w:t>
      </w:r>
      <w:r w:rsidRPr="00AD0EBD">
        <w:rPr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Sadržaj i rezultati testiranja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Sadržaj testiranja propisan je odredbama članka 4. </w:t>
      </w:r>
      <w:r w:rsidR="007F41DF" w:rsidRPr="00AD0EBD">
        <w:rPr>
          <w:sz w:val="22"/>
          <w:szCs w:val="22"/>
        </w:rPr>
        <w:t>P</w:t>
      </w:r>
      <w:r w:rsidRPr="00AD0EBD">
        <w:rPr>
          <w:sz w:val="22"/>
          <w:szCs w:val="22"/>
        </w:rPr>
        <w:t>ravilnika.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jc w:val="both"/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</w:rPr>
        <w:t xml:space="preserve">Smatra se da je kandidat zadovoljio na testiranju, </w:t>
      </w:r>
      <w:r w:rsidRPr="00AD0EBD">
        <w:rPr>
          <w:rFonts w:ascii="Times New Roman" w:hAnsi="Times New Roman" w:cs="Times New Roman"/>
          <w:b/>
        </w:rPr>
        <w:t>ako je za svaki dio testiranja dobio najmanje 5 bodova.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 koji ne zadovolji na provedenom testiranju, odnosno dijelu testiranja, ne može sudjelovati u daljnjem postupku.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Razgovor (intervju)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 razgovor se pozivaju kandidati koji su zadovoljili na testiranju sukladno članku 7. Pravilnika.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 s kandidatom obavlja Komisija i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Razgovorom se utvrđuju sposobnosti, vještine, interesi, profesionalni ciljevi i motivacija kandidata za rad u </w:t>
      </w:r>
      <w:r w:rsidRPr="00AD0EBD">
        <w:rPr>
          <w:rFonts w:ascii="Times New Roman" w:hAnsi="Times New Roman" w:cs="Times New Roman"/>
          <w:b/>
        </w:rPr>
        <w:t>Školi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Rezultati razgovora vrednuju se bodovima od 0 do 10. U vrednovanju razgovora ravnopravno s članovima Komisije sudjeluje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Smatra se da je kandidat zadovoljio na razgovoru ako je dobio najmanje 5 bodova.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Rang-lista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provedenog razgovora Komisija utvrđuje rang-listu kandidata prema ukupnom broju bodova ostvarenih na testiranju i razgovoru.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Izvješće o provedenom postupku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Komisija dostavlja ravnatelju izvješće o provedenom postupku, koje potpisuju svi članovi Komisije.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Uz izvješće se prilaže rang-lista kandidata iz članka 11. Pravilnika. 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Odlučivanje o kandidatu za kojeg se traži suglasnost školskog odbora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Odluku o kandidatu za kojeg se traži prethodna suglasnost školskog odbora donosi ravnatelj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na temelju rang - liste kandidata iz članka 11. Pravilnika.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izvješćivanja kandidata prijavljenih na natječaj</w:t>
      </w:r>
    </w:p>
    <w:p w:rsidR="006B0367" w:rsidRPr="00AD0EBD" w:rsidRDefault="006B0367" w:rsidP="006B0367">
      <w:pPr>
        <w:pStyle w:val="box455405t-9-8pleft"/>
        <w:rPr>
          <w:sz w:val="22"/>
          <w:szCs w:val="22"/>
        </w:rPr>
      </w:pPr>
      <w:r w:rsidRPr="00AD0EBD">
        <w:rPr>
          <w:sz w:val="22"/>
          <w:szCs w:val="22"/>
        </w:rPr>
        <w:t xml:space="preserve">Svi kandidati prijavljeni na natječaj izvješćuju se o rezultatima natječaja putem obavijesti na mrežnim stranicama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 u zakonom propisanom roku.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lastRenderedPageBreak/>
        <w:t>Postupak vrednovanja kandidata koje je uputio ured državne uprave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Na postupak vrednovanja kandidata koje je uputio ured državne uprave primjenjuju se odredbe  Pravilnika.</w:t>
      </w:r>
    </w:p>
    <w:p w:rsidR="007F41DF" w:rsidRPr="00AD0EBD" w:rsidRDefault="006B0367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t>U postupku vrednovanja kandidata koje je uputio ured državne uprave Komisija za provođenje natječaja objavljuje pravne izvore za pripremu kandidata za testiranje na mrežnim stranicama školske</w:t>
      </w:r>
      <w:r w:rsidR="004D0A99" w:rsidRPr="00AD0EBD">
        <w:rPr>
          <w:sz w:val="22"/>
          <w:szCs w:val="22"/>
        </w:rPr>
        <w:t xml:space="preserve"> </w:t>
      </w:r>
      <w:r w:rsidR="007F41DF" w:rsidRPr="00AD0EBD">
        <w:rPr>
          <w:sz w:val="22"/>
          <w:szCs w:val="22"/>
        </w:rPr>
        <w:t>ustanove najmanje osam dana prije termina predviđenog za testiranje.</w:t>
      </w:r>
    </w:p>
    <w:p w:rsidR="0060022F" w:rsidRPr="00AD0EBD" w:rsidRDefault="004D0A99" w:rsidP="00AD0E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 xml:space="preserve">Vrijeme i mjesto održavanja testiranja kandidata prijavljenih na natječaj za zasnivanje radnog odnosa  objavit će se na web stranici škole najmanje 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t>5 dana prije održavanja testiranja.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br/>
      </w:r>
    </w:p>
    <w:p w:rsidR="0060022F" w:rsidRPr="00AD0EBD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Pravni izvori za pripremu kandidata za testiranje:</w:t>
      </w:r>
    </w:p>
    <w:p w:rsidR="0060022F" w:rsidRPr="00AD0EBD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OPĆI DIO</w:t>
      </w:r>
    </w:p>
    <w:p w:rsidR="0060022F" w:rsidRPr="00AD0EBD" w:rsidRDefault="0060022F" w:rsidP="0060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60022F" w:rsidRPr="00AD0EBD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POSEBNI DIO</w:t>
      </w:r>
    </w:p>
    <w:p w:rsidR="0060022F" w:rsidRPr="00AD0EBD" w:rsidRDefault="0060022F" w:rsidP="006002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Pravilnik o načinima, postupcima i elementima vrednovanja učenika u osnovnoj i srednjoj školi (NN 112/2010. i 82/2019.)</w:t>
      </w:r>
    </w:p>
    <w:p w:rsidR="0060022F" w:rsidRPr="00AD0EBD" w:rsidRDefault="0060022F" w:rsidP="006002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Pravilnik o osnovnoškolskom i srednjoškolskom odgoju i obrazovanju učenika s teškoćama u razvoju (NN 24/2015.)</w:t>
      </w:r>
    </w:p>
    <w:p w:rsidR="0060022F" w:rsidRPr="00AD0EBD" w:rsidRDefault="0060022F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color w:val="000000"/>
          <w:sz w:val="20"/>
          <w:szCs w:val="20"/>
        </w:rPr>
      </w:pPr>
    </w:p>
    <w:p w:rsidR="002D6762" w:rsidRPr="00AD0EBD" w:rsidRDefault="001F4EDE" w:rsidP="0060022F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bCs/>
        </w:rPr>
        <w:t xml:space="preserve">  </w:t>
      </w:r>
      <w:r w:rsidR="0060022F" w:rsidRPr="00AD0EBD">
        <w:rPr>
          <w:rFonts w:ascii="Times New Roman" w:hAnsi="Times New Roman" w:cs="Times New Roman"/>
          <w:bCs/>
        </w:rPr>
        <w:t>KOMISIJA ZA PROVEDBU NATJEČAJA</w:t>
      </w:r>
    </w:p>
    <w:p w:rsidR="0060022F" w:rsidRPr="00AD0EBD" w:rsidRDefault="0060022F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60022F" w:rsidRPr="00AD0EBD" w:rsidRDefault="0060022F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1F4EDE" w:rsidRPr="00AD0EBD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810339" w:rsidRPr="00AD0EBD" w:rsidRDefault="001F4EDE" w:rsidP="00357C39">
      <w:pPr>
        <w:shd w:val="clear" w:color="auto" w:fill="FFFFFF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sectPr w:rsidR="00810339" w:rsidRPr="00A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C45ED"/>
    <w:rsid w:val="00131609"/>
    <w:rsid w:val="001A6181"/>
    <w:rsid w:val="001C15CE"/>
    <w:rsid w:val="001F4EDE"/>
    <w:rsid w:val="002224F3"/>
    <w:rsid w:val="00237830"/>
    <w:rsid w:val="0024148F"/>
    <w:rsid w:val="002673AB"/>
    <w:rsid w:val="002D6762"/>
    <w:rsid w:val="003056F9"/>
    <w:rsid w:val="00311BF0"/>
    <w:rsid w:val="003255BC"/>
    <w:rsid w:val="00335CF2"/>
    <w:rsid w:val="00357C39"/>
    <w:rsid w:val="00370906"/>
    <w:rsid w:val="00436367"/>
    <w:rsid w:val="004D0A99"/>
    <w:rsid w:val="005121E8"/>
    <w:rsid w:val="0056095E"/>
    <w:rsid w:val="00570EE5"/>
    <w:rsid w:val="005A4ED5"/>
    <w:rsid w:val="005A60D2"/>
    <w:rsid w:val="0060022F"/>
    <w:rsid w:val="00656C88"/>
    <w:rsid w:val="0068712A"/>
    <w:rsid w:val="006947A3"/>
    <w:rsid w:val="006B0367"/>
    <w:rsid w:val="006F1E8F"/>
    <w:rsid w:val="00704607"/>
    <w:rsid w:val="00715D16"/>
    <w:rsid w:val="00731BAE"/>
    <w:rsid w:val="007B79B8"/>
    <w:rsid w:val="007C4A83"/>
    <w:rsid w:val="007C4DFA"/>
    <w:rsid w:val="007F41DF"/>
    <w:rsid w:val="007F5152"/>
    <w:rsid w:val="00810339"/>
    <w:rsid w:val="00811CF8"/>
    <w:rsid w:val="00853DC4"/>
    <w:rsid w:val="008B7687"/>
    <w:rsid w:val="008E0E5F"/>
    <w:rsid w:val="008F351E"/>
    <w:rsid w:val="009F34E1"/>
    <w:rsid w:val="00A95160"/>
    <w:rsid w:val="00A97274"/>
    <w:rsid w:val="00AA7DAF"/>
    <w:rsid w:val="00AD0EBD"/>
    <w:rsid w:val="00AD758A"/>
    <w:rsid w:val="00AE2336"/>
    <w:rsid w:val="00B46366"/>
    <w:rsid w:val="00BA7B91"/>
    <w:rsid w:val="00C13522"/>
    <w:rsid w:val="00C56D7E"/>
    <w:rsid w:val="00D4571D"/>
    <w:rsid w:val="00D63334"/>
    <w:rsid w:val="00D81AB9"/>
    <w:rsid w:val="00D90E5D"/>
    <w:rsid w:val="00DF321F"/>
    <w:rsid w:val="00EA7DF8"/>
    <w:rsid w:val="00F827AD"/>
    <w:rsid w:val="00FB7D41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2021-03-31T06:19:00Z</cp:lastPrinted>
  <dcterms:created xsi:type="dcterms:W3CDTF">2021-04-28T07:16:00Z</dcterms:created>
  <dcterms:modified xsi:type="dcterms:W3CDTF">2021-04-28T07:16:00Z</dcterms:modified>
</cp:coreProperties>
</file>